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Åsele kommunfullmäktige</w:t>
      </w:r>
    </w:p>
    <w:p>
      <w:pPr>
        <w:pStyle w:val="Heading1"/>
      </w:pPr>
      <w:r>
        <w:t xml:space="preserve">Fler hyresrätter för unga vuxna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Åsele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Boverkets bostadsmarknadsenkät 2025 visar underskott på hyresrätter i Åsele. Unga flyttar ut för studier och arbete vilket accelererar befolkningsminskningen. Fler bostäder är en förutsättning för att behålla och attrahera invånare.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Åsele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Åsele kommun tar fram en bostadsförsörjningsplan med fokus på hyresrätter för unga.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inleder samtal med allmännyttan om nyproduktion av minst 20 hyreslägenheter fram till 2029.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planberedskap för bostadsbyggande på central mark säkerställs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bostadsbeståndet redovisas i kommunstyrelsen.</w:t>
      </w:r>
    </w:p>
    <w:p>
      <w:pPr>
        <w:spacing w:before="360"/>
      </w:pPr>
    </w:p>
    <w:p>
      <w:r>
        <w:t xml:space="preserve">Åsele,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Åsele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2026-07-14T01:59:08.761Z</dcterms:created>
  <dcterms:modified xsi:type="dcterms:W3CDTF">2026-07-14T01:59:08.761Z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